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1843" w14:textId="77777777" w:rsidR="00F5304B" w:rsidRDefault="00F5304B" w:rsidP="00F5304B">
      <w:pPr>
        <w:pStyle w:val="Heading1"/>
        <w:jc w:val="center"/>
        <w:rPr>
          <w:b/>
          <w:bCs/>
        </w:rPr>
      </w:pPr>
      <w:r>
        <w:rPr>
          <w:noProof/>
        </w:rPr>
        <w:drawing>
          <wp:inline distT="0" distB="0" distL="0" distR="0" wp14:anchorId="7F5836A1" wp14:editId="7634ADE7">
            <wp:extent cx="1927225" cy="410845"/>
            <wp:effectExtent l="0" t="0" r="0" b="825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225" cy="410845"/>
                    </a:xfrm>
                    <a:prstGeom prst="rect">
                      <a:avLst/>
                    </a:prstGeom>
                    <a:noFill/>
                    <a:ln>
                      <a:noFill/>
                    </a:ln>
                  </pic:spPr>
                </pic:pic>
              </a:graphicData>
            </a:graphic>
          </wp:inline>
        </w:drawing>
      </w:r>
      <w:r w:rsidR="00E75226">
        <w:rPr>
          <w:b/>
          <w:bCs/>
        </w:rPr>
        <w:br/>
      </w:r>
    </w:p>
    <w:p w14:paraId="040A305A" w14:textId="37AB8E55" w:rsidR="00D76177" w:rsidRPr="00B465D5" w:rsidRDefault="00D76177" w:rsidP="00F5304B">
      <w:pPr>
        <w:pStyle w:val="Heading1"/>
        <w:rPr>
          <w:b/>
          <w:bCs/>
        </w:rPr>
      </w:pPr>
      <w:r w:rsidRPr="00B465D5">
        <w:rPr>
          <w:b/>
          <w:bCs/>
        </w:rPr>
        <w:t>Checklist for Banks in the Wake of SVB and Signature Bank Failures</w:t>
      </w:r>
    </w:p>
    <w:p w14:paraId="57E703B3" w14:textId="14B18328" w:rsidR="00B465D5" w:rsidRPr="00B465D5" w:rsidRDefault="00B465D5" w:rsidP="00B465D5">
      <w:pPr>
        <w:jc w:val="center"/>
        <w:rPr>
          <w:sz w:val="20"/>
          <w:szCs w:val="20"/>
        </w:rPr>
      </w:pPr>
      <w:r w:rsidRPr="00B465D5">
        <w:rPr>
          <w:sz w:val="20"/>
          <w:szCs w:val="20"/>
        </w:rPr>
        <w:t>(March 2</w:t>
      </w:r>
      <w:r w:rsidR="00E75226">
        <w:rPr>
          <w:sz w:val="20"/>
          <w:szCs w:val="20"/>
        </w:rPr>
        <w:t>9</w:t>
      </w:r>
      <w:r w:rsidRPr="00B465D5">
        <w:rPr>
          <w:sz w:val="20"/>
          <w:szCs w:val="20"/>
        </w:rPr>
        <w:t>, 2023)</w:t>
      </w:r>
    </w:p>
    <w:p w14:paraId="23664519" w14:textId="77777777" w:rsidR="007E1779" w:rsidRPr="007E1779" w:rsidRDefault="007E1779" w:rsidP="007E1779">
      <w:pPr>
        <w:shd w:val="clear" w:color="auto" w:fill="FFFFFF"/>
        <w:spacing w:before="100" w:beforeAutospacing="1" w:after="100" w:afterAutospacing="1"/>
        <w:rPr>
          <w:rFonts w:asciiTheme="minorHAnsi" w:eastAsia="Times New Roman" w:hAnsiTheme="minorHAnsi" w:cstheme="minorHAnsi"/>
          <w:color w:val="000000"/>
        </w:rPr>
      </w:pPr>
      <w:r w:rsidRPr="007E1779">
        <w:rPr>
          <w:rFonts w:asciiTheme="minorHAnsi" w:eastAsia="Times New Roman" w:hAnsiTheme="minorHAnsi" w:cstheme="minorHAnsi"/>
          <w:color w:val="000000"/>
        </w:rPr>
        <w:t>In the wake of recent banking industry events, below are six takeaways that banks can take into consideration now.  </w:t>
      </w:r>
    </w:p>
    <w:p w14:paraId="2575A4D4" w14:textId="77777777" w:rsidR="007E1779" w:rsidRPr="007E1779" w:rsidRDefault="007E1779" w:rsidP="007E1779">
      <w:pPr>
        <w:numPr>
          <w:ilvl w:val="0"/>
          <w:numId w:val="6"/>
        </w:numPr>
        <w:shd w:val="clear" w:color="auto" w:fill="FFFFFF"/>
        <w:spacing w:before="240" w:after="240"/>
        <w:ind w:left="1080"/>
        <w:rPr>
          <w:rFonts w:asciiTheme="minorHAnsi" w:eastAsia="Times New Roman" w:hAnsiTheme="minorHAnsi" w:cstheme="minorHAnsi"/>
          <w:color w:val="000000"/>
        </w:rPr>
      </w:pPr>
      <w:r w:rsidRPr="007E1779">
        <w:rPr>
          <w:rFonts w:asciiTheme="minorHAnsi" w:eastAsia="Times New Roman" w:hAnsiTheme="minorHAnsi" w:cstheme="minorHAnsi"/>
          <w:b/>
          <w:bCs/>
          <w:color w:val="000000"/>
        </w:rPr>
        <w:t>Plan for the resources that you would tap into in the event of significant customer withdrawal demands</w:t>
      </w:r>
      <w:r w:rsidRPr="007E1779">
        <w:rPr>
          <w:rFonts w:asciiTheme="minorHAnsi" w:eastAsia="Times New Roman" w:hAnsiTheme="minorHAnsi" w:cstheme="minorHAnsi"/>
          <w:color w:val="000000"/>
        </w:rPr>
        <w:t>, </w:t>
      </w:r>
      <w:r w:rsidRPr="007E1779">
        <w:rPr>
          <w:rFonts w:asciiTheme="minorHAnsi" w:eastAsia="Times New Roman" w:hAnsiTheme="minorHAnsi" w:cstheme="minorHAnsi"/>
          <w:i/>
          <w:iCs/>
          <w:color w:val="000000"/>
        </w:rPr>
        <w:t>e.g.</w:t>
      </w:r>
      <w:r w:rsidRPr="007E1779">
        <w:rPr>
          <w:rFonts w:asciiTheme="minorHAnsi" w:eastAsia="Times New Roman" w:hAnsiTheme="minorHAnsi" w:cstheme="minorHAnsi"/>
          <w:color w:val="000000"/>
        </w:rPr>
        <w:t>, new Fed loan program (some narrowness of acceptable collateral), existing Fed programs, Fed Home Loan Bank advances, and timely new capital raising.</w:t>
      </w:r>
    </w:p>
    <w:p w14:paraId="2D411D34" w14:textId="77777777" w:rsidR="007E1779" w:rsidRPr="007E1779" w:rsidRDefault="007E1779" w:rsidP="007E1779">
      <w:pPr>
        <w:numPr>
          <w:ilvl w:val="0"/>
          <w:numId w:val="6"/>
        </w:numPr>
        <w:shd w:val="clear" w:color="auto" w:fill="FFFFFF"/>
        <w:spacing w:before="240" w:after="240"/>
        <w:ind w:left="1080"/>
        <w:rPr>
          <w:rFonts w:asciiTheme="minorHAnsi" w:eastAsia="Times New Roman" w:hAnsiTheme="minorHAnsi" w:cstheme="minorHAnsi"/>
          <w:color w:val="000000"/>
        </w:rPr>
      </w:pPr>
      <w:r w:rsidRPr="007E1779">
        <w:rPr>
          <w:rFonts w:asciiTheme="minorHAnsi" w:eastAsia="Times New Roman" w:hAnsiTheme="minorHAnsi" w:cstheme="minorHAnsi"/>
          <w:b/>
          <w:bCs/>
          <w:color w:val="000000"/>
        </w:rPr>
        <w:t>Plan for Asset and Liability Management to transition to higher interest rates in investment portfolio.</w:t>
      </w:r>
      <w:r w:rsidRPr="007E1779">
        <w:rPr>
          <w:rFonts w:asciiTheme="minorHAnsi" w:eastAsia="Times New Roman" w:hAnsiTheme="minorHAnsi" w:cstheme="minorHAnsi"/>
          <w:color w:val="000000"/>
        </w:rPr>
        <w:t> Is your plan sufficient -and flexible enough- to accommodate an anticipated degree of rate uncertainty going forward?</w:t>
      </w:r>
    </w:p>
    <w:p w14:paraId="360A129B" w14:textId="77777777" w:rsidR="007E1779" w:rsidRPr="007E1779" w:rsidRDefault="007E1779" w:rsidP="007E1779">
      <w:pPr>
        <w:numPr>
          <w:ilvl w:val="0"/>
          <w:numId w:val="6"/>
        </w:numPr>
        <w:shd w:val="clear" w:color="auto" w:fill="FFFFFF"/>
        <w:spacing w:before="240" w:after="240"/>
        <w:ind w:left="1080"/>
        <w:rPr>
          <w:rFonts w:asciiTheme="minorHAnsi" w:eastAsia="Times New Roman" w:hAnsiTheme="minorHAnsi" w:cstheme="minorHAnsi"/>
          <w:color w:val="000000"/>
        </w:rPr>
      </w:pPr>
      <w:r w:rsidRPr="007E1779">
        <w:rPr>
          <w:rFonts w:asciiTheme="minorHAnsi" w:eastAsia="Times New Roman" w:hAnsiTheme="minorHAnsi" w:cstheme="minorHAnsi"/>
          <w:b/>
          <w:bCs/>
          <w:color w:val="000000"/>
        </w:rPr>
        <w:t>Closely monitor the strength of bank counterparties to whom you extend credit</w:t>
      </w:r>
      <w:r w:rsidRPr="007E1779">
        <w:rPr>
          <w:rFonts w:asciiTheme="minorHAnsi" w:eastAsia="Times New Roman" w:hAnsiTheme="minorHAnsi" w:cstheme="minorHAnsi"/>
          <w:color w:val="000000"/>
        </w:rPr>
        <w:t xml:space="preserve"> (as unsecured lender, depositor, repo counterparty, swap counterparty, etc.), particularly </w:t>
      </w:r>
      <w:proofErr w:type="gramStart"/>
      <w:r w:rsidRPr="007E1779">
        <w:rPr>
          <w:rFonts w:asciiTheme="minorHAnsi" w:eastAsia="Times New Roman" w:hAnsiTheme="minorHAnsi" w:cstheme="minorHAnsi"/>
          <w:color w:val="000000"/>
        </w:rPr>
        <w:t>in light of</w:t>
      </w:r>
      <w:proofErr w:type="gramEnd"/>
      <w:r w:rsidRPr="007E1779">
        <w:rPr>
          <w:rFonts w:asciiTheme="minorHAnsi" w:eastAsia="Times New Roman" w:hAnsiTheme="minorHAnsi" w:cstheme="minorHAnsi"/>
          <w:color w:val="000000"/>
        </w:rPr>
        <w:t xml:space="preserve"> the most significant metrics in the current environment of unrealized investment losses and degree of uninsured deposit funding.</w:t>
      </w:r>
    </w:p>
    <w:p w14:paraId="3B789F6C" w14:textId="77777777" w:rsidR="007E1779" w:rsidRPr="007E1779" w:rsidRDefault="007E1779" w:rsidP="007E1779">
      <w:pPr>
        <w:numPr>
          <w:ilvl w:val="0"/>
          <w:numId w:val="6"/>
        </w:numPr>
        <w:shd w:val="clear" w:color="auto" w:fill="FFFFFF"/>
        <w:spacing w:before="240" w:after="240"/>
        <w:ind w:left="1080"/>
        <w:rPr>
          <w:rFonts w:asciiTheme="minorHAnsi" w:eastAsia="Times New Roman" w:hAnsiTheme="minorHAnsi" w:cstheme="minorHAnsi"/>
          <w:color w:val="000000"/>
        </w:rPr>
      </w:pPr>
      <w:r w:rsidRPr="007E1779">
        <w:rPr>
          <w:rFonts w:asciiTheme="minorHAnsi" w:eastAsia="Times New Roman" w:hAnsiTheme="minorHAnsi" w:cstheme="minorHAnsi"/>
          <w:b/>
          <w:bCs/>
          <w:color w:val="000000"/>
        </w:rPr>
        <w:t>Consider if new capital is important to your institution and which form would have priority.</w:t>
      </w:r>
      <w:r w:rsidRPr="007E1779">
        <w:rPr>
          <w:rFonts w:asciiTheme="minorHAnsi" w:eastAsia="Times New Roman" w:hAnsiTheme="minorHAnsi" w:cstheme="minorHAnsi"/>
          <w:color w:val="000000"/>
        </w:rPr>
        <w:t> Some ideas could involve acquisition partners, bringing on a new significant minority partner, or public and private underwritten offerings for larger institutions.</w:t>
      </w:r>
    </w:p>
    <w:p w14:paraId="1D88C748" w14:textId="77777777" w:rsidR="007E1779" w:rsidRPr="007E1779" w:rsidRDefault="007E1779" w:rsidP="007E1779">
      <w:pPr>
        <w:numPr>
          <w:ilvl w:val="0"/>
          <w:numId w:val="6"/>
        </w:numPr>
        <w:shd w:val="clear" w:color="auto" w:fill="FFFFFF"/>
        <w:spacing w:before="240" w:after="240"/>
        <w:ind w:left="1080"/>
        <w:rPr>
          <w:rFonts w:asciiTheme="minorHAnsi" w:eastAsia="Times New Roman" w:hAnsiTheme="minorHAnsi" w:cstheme="minorHAnsi"/>
          <w:color w:val="000000"/>
        </w:rPr>
      </w:pPr>
      <w:r w:rsidRPr="007E1779">
        <w:rPr>
          <w:rFonts w:asciiTheme="minorHAnsi" w:eastAsia="Times New Roman" w:hAnsiTheme="minorHAnsi" w:cstheme="minorHAnsi"/>
          <w:b/>
          <w:bCs/>
          <w:color w:val="000000"/>
        </w:rPr>
        <w:t>Understand the deposit insurance characteristics of your institution.</w:t>
      </w:r>
      <w:r w:rsidRPr="007E1779">
        <w:rPr>
          <w:rFonts w:asciiTheme="minorHAnsi" w:eastAsia="Times New Roman" w:hAnsiTheme="minorHAnsi" w:cstheme="minorHAnsi"/>
          <w:color w:val="000000"/>
        </w:rPr>
        <w:t> This includes a thorough understanding of what is covered and what is not, which can be a complex question especially in cases of affiliated parties having separate deposit accounts. Also consider what exactly are the insured deposits, including accounts where some of the assets are insured but others may not be.</w:t>
      </w:r>
    </w:p>
    <w:p w14:paraId="2351CEDA" w14:textId="77777777" w:rsidR="007E1779" w:rsidRPr="007E1779" w:rsidRDefault="007E1779" w:rsidP="007E1779">
      <w:pPr>
        <w:numPr>
          <w:ilvl w:val="0"/>
          <w:numId w:val="6"/>
        </w:numPr>
        <w:shd w:val="clear" w:color="auto" w:fill="FFFFFF"/>
        <w:spacing w:before="240" w:after="240"/>
        <w:ind w:left="1080"/>
        <w:rPr>
          <w:rFonts w:asciiTheme="minorHAnsi" w:eastAsia="Times New Roman" w:hAnsiTheme="minorHAnsi" w:cstheme="minorHAnsi"/>
          <w:color w:val="000000"/>
        </w:rPr>
      </w:pPr>
      <w:r w:rsidRPr="007E1779">
        <w:rPr>
          <w:rFonts w:asciiTheme="minorHAnsi" w:eastAsia="Times New Roman" w:hAnsiTheme="minorHAnsi" w:cstheme="minorHAnsi"/>
          <w:b/>
          <w:bCs/>
          <w:color w:val="000000"/>
        </w:rPr>
        <w:t>Get good data</w:t>
      </w:r>
      <w:r w:rsidRPr="007E1779">
        <w:rPr>
          <w:rFonts w:asciiTheme="minorHAnsi" w:eastAsia="Times New Roman" w:hAnsiTheme="minorHAnsi" w:cstheme="minorHAnsi"/>
          <w:color w:val="000000"/>
        </w:rPr>
        <w:t xml:space="preserve">, often available but not easy to obtain without expert </w:t>
      </w:r>
      <w:proofErr w:type="gramStart"/>
      <w:r w:rsidRPr="007E1779">
        <w:rPr>
          <w:rFonts w:asciiTheme="minorHAnsi" w:eastAsia="Times New Roman" w:hAnsiTheme="minorHAnsi" w:cstheme="minorHAnsi"/>
          <w:color w:val="000000"/>
        </w:rPr>
        <w:t>help, and</w:t>
      </w:r>
      <w:proofErr w:type="gramEnd"/>
      <w:r w:rsidRPr="007E1779">
        <w:rPr>
          <w:rFonts w:asciiTheme="minorHAnsi" w:eastAsia="Times New Roman" w:hAnsiTheme="minorHAnsi" w:cstheme="minorHAnsi"/>
          <w:color w:val="000000"/>
        </w:rPr>
        <w:t xml:space="preserve"> consult your attorney on legal issues.</w:t>
      </w:r>
    </w:p>
    <w:p w14:paraId="53025F11" w14:textId="77777777" w:rsidR="00D76177" w:rsidRPr="00C5380D" w:rsidRDefault="00D76177" w:rsidP="00D76177">
      <w:pPr>
        <w:pStyle w:val="NormalWeb"/>
        <w:shd w:val="clear" w:color="auto" w:fill="FFFFFF"/>
        <w:rPr>
          <w:rFonts w:ascii="Calibri" w:hAnsi="Calibri" w:cs="Calibri"/>
          <w:color w:val="000000"/>
          <w:sz w:val="22"/>
          <w:szCs w:val="22"/>
        </w:rPr>
      </w:pPr>
      <w:r>
        <w:rPr>
          <w:rFonts w:ascii="Calibri" w:hAnsi="Calibri" w:cs="Calibri"/>
          <w:color w:val="000000"/>
          <w:sz w:val="22"/>
          <w:szCs w:val="22"/>
        </w:rPr>
        <w:t xml:space="preserve">Quarles continues to monitor and share updates on the banking industry as events unfold. For additional insights or guidance relative to your specific business needs, please contact your </w:t>
      </w:r>
      <w:r w:rsidRPr="00C5380D">
        <w:rPr>
          <w:rFonts w:ascii="Calibri" w:hAnsi="Calibri" w:cs="Calibri"/>
          <w:color w:val="000000"/>
          <w:sz w:val="22"/>
          <w:szCs w:val="22"/>
        </w:rPr>
        <w:t>Quarles attorney or:</w:t>
      </w:r>
    </w:p>
    <w:p w14:paraId="1D05E412" w14:textId="77777777" w:rsidR="00D76177" w:rsidRPr="00C5380D" w:rsidRDefault="00D76177" w:rsidP="00D76177">
      <w:pPr>
        <w:numPr>
          <w:ilvl w:val="0"/>
          <w:numId w:val="4"/>
        </w:numPr>
        <w:shd w:val="clear" w:color="auto" w:fill="FFFFFF"/>
        <w:spacing w:before="240" w:after="240"/>
        <w:ind w:left="1080"/>
        <w:rPr>
          <w:color w:val="000000"/>
        </w:rPr>
      </w:pPr>
      <w:r w:rsidRPr="00C5380D">
        <w:rPr>
          <w:color w:val="000000"/>
        </w:rPr>
        <w:t>Jim Kaplan: 312-715-5028 / </w:t>
      </w:r>
      <w:hyperlink r:id="rId8" w:history="1">
        <w:r w:rsidRPr="00C5380D">
          <w:rPr>
            <w:rStyle w:val="Hyperlink"/>
            <w:color w:val="CD0F2D"/>
          </w:rPr>
          <w:t>jim.kaplan@quarles.com</w:t>
        </w:r>
      </w:hyperlink>
    </w:p>
    <w:p w14:paraId="060B58AA" w14:textId="77777777" w:rsidR="00D76177" w:rsidRPr="00C5380D" w:rsidRDefault="00D76177" w:rsidP="00D76177">
      <w:pPr>
        <w:numPr>
          <w:ilvl w:val="0"/>
          <w:numId w:val="4"/>
        </w:numPr>
        <w:shd w:val="clear" w:color="auto" w:fill="FFFFFF"/>
        <w:spacing w:before="240" w:after="240"/>
        <w:ind w:left="1080"/>
        <w:rPr>
          <w:color w:val="000000"/>
        </w:rPr>
      </w:pPr>
      <w:r w:rsidRPr="00C5380D">
        <w:rPr>
          <w:color w:val="000000"/>
        </w:rPr>
        <w:t>Kim Wynn: 414-277-5377 / </w:t>
      </w:r>
      <w:hyperlink r:id="rId9" w:history="1">
        <w:r w:rsidRPr="00C5380D">
          <w:rPr>
            <w:rStyle w:val="Hyperlink"/>
            <w:color w:val="CD0F2D"/>
          </w:rPr>
          <w:t>kim.wynn@quarles.com</w:t>
        </w:r>
      </w:hyperlink>
    </w:p>
    <w:p w14:paraId="5A56CB3A" w14:textId="77777777" w:rsidR="0073489B" w:rsidRDefault="0073489B"/>
    <w:sectPr w:rsidR="007348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0992" w14:textId="77777777" w:rsidR="004A4448" w:rsidRDefault="004A4448" w:rsidP="00B465D5">
      <w:r>
        <w:separator/>
      </w:r>
    </w:p>
  </w:endnote>
  <w:endnote w:type="continuationSeparator" w:id="0">
    <w:p w14:paraId="2B29F55A" w14:textId="77777777" w:rsidR="004A4448" w:rsidRDefault="004A4448" w:rsidP="00B4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5F15" w14:textId="77777777" w:rsidR="004A4448" w:rsidRDefault="004A4448" w:rsidP="00B465D5">
      <w:r>
        <w:separator/>
      </w:r>
    </w:p>
  </w:footnote>
  <w:footnote w:type="continuationSeparator" w:id="0">
    <w:p w14:paraId="4B04063B" w14:textId="77777777" w:rsidR="004A4448" w:rsidRDefault="004A4448" w:rsidP="00B46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B00D" w14:textId="5B93297D" w:rsidR="00B465D5" w:rsidRPr="00B465D5" w:rsidRDefault="00B465D5" w:rsidP="00B465D5">
    <w:pPr>
      <w:pStyle w:val="Header"/>
      <w:tabs>
        <w:tab w:val="left" w:pos="1284"/>
        <w:tab w:val="left" w:pos="27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136"/>
    <w:multiLevelType w:val="hybridMultilevel"/>
    <w:tmpl w:val="F1726900"/>
    <w:lvl w:ilvl="0" w:tplc="64548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E1A31"/>
    <w:multiLevelType w:val="multilevel"/>
    <w:tmpl w:val="1B3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0A2307"/>
    <w:multiLevelType w:val="multilevel"/>
    <w:tmpl w:val="0BD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1D33"/>
    <w:multiLevelType w:val="hybridMultilevel"/>
    <w:tmpl w:val="D5D61DCC"/>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 w15:restartNumberingAfterBreak="0">
    <w:nsid w:val="24FE67BE"/>
    <w:multiLevelType w:val="multilevel"/>
    <w:tmpl w:val="48F2C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2A4700"/>
    <w:multiLevelType w:val="multilevel"/>
    <w:tmpl w:val="0A6A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79086069||2~1||3~Quarles Bank Checklist with  Alert (March 2023)||5~MSMECK||6~MSMECK||7~WORDX||8~ADMIN||9~MISC||10~3/28/2023 6:31:16 PM||11~3/28/2023 6:23:56 PM||13~38368||14~False||17~public||18~JDIRKS||19~JDIRKS||21~True||22~True||23~False||25~999999||26~99999||60~Quarles &amp; Brady Miscellaneous||61~Copy/Fax Firm Costs - ONLY||74~Smeck, Margaret R.||75~Smeck, Margaret R.||76~WORD 2007||77~Administration||78~Miscellaneous||82~docx||85~3/28/2023 7:39:32 PM||99~1/1/0001 12:00:00 AM||106~C:\Users\jdirks\AppData\Roaming\iManage\Work\Recent\Smeck_ Margaret R. Personal Workspace\Quarles Bank Checklist with  Alert (March 2023)(79086069.1).docx||107~1/1/0001 12:00:00 AM||109~3/28/2023 8:09:09 PM||113~3/28/2023 6:23:55 PM||114~3/28/2023 6:31:14 PM||124~False||"/>
    <w:docVar w:name="zzmp10NoTrailerPromptID" w:val="ACTIVE.79086069.1"/>
  </w:docVars>
  <w:rsids>
    <w:rsidRoot w:val="00D76177"/>
    <w:rsid w:val="0004436A"/>
    <w:rsid w:val="00235EB6"/>
    <w:rsid w:val="00290067"/>
    <w:rsid w:val="003C743C"/>
    <w:rsid w:val="00444FE0"/>
    <w:rsid w:val="004A4448"/>
    <w:rsid w:val="0073489B"/>
    <w:rsid w:val="007E1779"/>
    <w:rsid w:val="008431E1"/>
    <w:rsid w:val="0098042B"/>
    <w:rsid w:val="00B465D5"/>
    <w:rsid w:val="00B54A1B"/>
    <w:rsid w:val="00B76AF2"/>
    <w:rsid w:val="00C22414"/>
    <w:rsid w:val="00D179E4"/>
    <w:rsid w:val="00D560C6"/>
    <w:rsid w:val="00D76177"/>
    <w:rsid w:val="00DB7FA7"/>
    <w:rsid w:val="00DE4A23"/>
    <w:rsid w:val="00DE694C"/>
    <w:rsid w:val="00DF62B5"/>
    <w:rsid w:val="00E75226"/>
    <w:rsid w:val="00F1188B"/>
    <w:rsid w:val="00F5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A8099"/>
  <w15:chartTrackingRefBased/>
  <w15:docId w15:val="{24AF1172-8719-4893-ABA0-0F3CDFC0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177"/>
    <w:pPr>
      <w:spacing w:after="0" w:line="240" w:lineRule="auto"/>
    </w:pPr>
    <w:rPr>
      <w:rFonts w:ascii="Calibri" w:hAnsi="Calibri" w:cs="Calibri"/>
    </w:rPr>
  </w:style>
  <w:style w:type="paragraph" w:styleId="Heading1">
    <w:name w:val="heading 1"/>
    <w:basedOn w:val="Normal"/>
    <w:next w:val="Normal"/>
    <w:link w:val="Heading1Char"/>
    <w:uiPriority w:val="9"/>
    <w:qFormat/>
    <w:rsid w:val="00D7617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1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17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76177"/>
    <w:pPr>
      <w:ind w:left="720"/>
    </w:pPr>
  </w:style>
  <w:style w:type="paragraph" w:styleId="NormalWeb">
    <w:name w:val="Normal (Web)"/>
    <w:basedOn w:val="Normal"/>
    <w:uiPriority w:val="99"/>
    <w:unhideWhenUsed/>
    <w:rsid w:val="00D7617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6177"/>
    <w:rPr>
      <w:color w:val="0563C1" w:themeColor="hyperlink"/>
      <w:u w:val="single"/>
    </w:rPr>
  </w:style>
  <w:style w:type="character" w:customStyle="1" w:styleId="Heading1Char">
    <w:name w:val="Heading 1 Char"/>
    <w:basedOn w:val="DefaultParagraphFont"/>
    <w:link w:val="Heading1"/>
    <w:uiPriority w:val="9"/>
    <w:rsid w:val="00D7617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465D5"/>
    <w:pPr>
      <w:tabs>
        <w:tab w:val="center" w:pos="4680"/>
        <w:tab w:val="right" w:pos="9360"/>
      </w:tabs>
    </w:pPr>
  </w:style>
  <w:style w:type="character" w:customStyle="1" w:styleId="HeaderChar">
    <w:name w:val="Header Char"/>
    <w:basedOn w:val="DefaultParagraphFont"/>
    <w:link w:val="Header"/>
    <w:uiPriority w:val="99"/>
    <w:rsid w:val="00B465D5"/>
    <w:rPr>
      <w:rFonts w:ascii="Calibri" w:hAnsi="Calibri" w:cs="Calibri"/>
    </w:rPr>
  </w:style>
  <w:style w:type="paragraph" w:styleId="Footer">
    <w:name w:val="footer"/>
    <w:basedOn w:val="Normal"/>
    <w:link w:val="FooterChar"/>
    <w:uiPriority w:val="99"/>
    <w:unhideWhenUsed/>
    <w:rsid w:val="00B465D5"/>
    <w:pPr>
      <w:tabs>
        <w:tab w:val="center" w:pos="4680"/>
        <w:tab w:val="right" w:pos="9360"/>
      </w:tabs>
    </w:pPr>
  </w:style>
  <w:style w:type="character" w:customStyle="1" w:styleId="FooterChar">
    <w:name w:val="Footer Char"/>
    <w:basedOn w:val="DefaultParagraphFont"/>
    <w:link w:val="Footer"/>
    <w:uiPriority w:val="99"/>
    <w:rsid w:val="00B465D5"/>
    <w:rPr>
      <w:rFonts w:ascii="Calibri" w:hAnsi="Calibri" w:cs="Calibri"/>
    </w:rPr>
  </w:style>
  <w:style w:type="character" w:styleId="Strong">
    <w:name w:val="Strong"/>
    <w:basedOn w:val="DefaultParagraphFont"/>
    <w:uiPriority w:val="22"/>
    <w:qFormat/>
    <w:rsid w:val="00D179E4"/>
    <w:rPr>
      <w:b/>
      <w:bCs/>
    </w:rPr>
  </w:style>
  <w:style w:type="character" w:styleId="Emphasis">
    <w:name w:val="Emphasis"/>
    <w:basedOn w:val="DefaultParagraphFont"/>
    <w:uiPriority w:val="20"/>
    <w:qFormat/>
    <w:rsid w:val="00D17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30658">
      <w:bodyDiv w:val="1"/>
      <w:marLeft w:val="0"/>
      <w:marRight w:val="0"/>
      <w:marTop w:val="0"/>
      <w:marBottom w:val="0"/>
      <w:divBdr>
        <w:top w:val="none" w:sz="0" w:space="0" w:color="auto"/>
        <w:left w:val="none" w:sz="0" w:space="0" w:color="auto"/>
        <w:bottom w:val="none" w:sz="0" w:space="0" w:color="auto"/>
        <w:right w:val="none" w:sz="0" w:space="0" w:color="auto"/>
      </w:divBdr>
    </w:div>
    <w:div w:id="479658470">
      <w:bodyDiv w:val="1"/>
      <w:marLeft w:val="0"/>
      <w:marRight w:val="0"/>
      <w:marTop w:val="0"/>
      <w:marBottom w:val="0"/>
      <w:divBdr>
        <w:top w:val="none" w:sz="0" w:space="0" w:color="auto"/>
        <w:left w:val="none" w:sz="0" w:space="0" w:color="auto"/>
        <w:bottom w:val="none" w:sz="0" w:space="0" w:color="auto"/>
        <w:right w:val="none" w:sz="0" w:space="0" w:color="auto"/>
      </w:divBdr>
    </w:div>
    <w:div w:id="20105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Kaplan@quarl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m.Wynn@quar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1763</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Smeck</dc:creator>
  <cp:keywords/>
  <dc:description/>
  <cp:lastModifiedBy>Glen, Michael J. (CHI x6157)</cp:lastModifiedBy>
  <cp:revision>4</cp:revision>
  <dcterms:created xsi:type="dcterms:W3CDTF">2023-03-29T19:07:00Z</dcterms:created>
  <dcterms:modified xsi:type="dcterms:W3CDTF">2023-03-29T19:08:00Z</dcterms:modified>
</cp:coreProperties>
</file>