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932FF" w14:textId="77777777" w:rsidR="00B76AF2" w:rsidRDefault="00B76AF2" w:rsidP="00B76AF2">
      <w:pPr>
        <w:pStyle w:val="Heading1"/>
        <w:jc w:val="center"/>
      </w:pPr>
      <w:bookmarkStart w:id="0" w:name="_Hlk130892367"/>
      <w:r>
        <w:rPr>
          <w:noProof/>
        </w:rPr>
        <w:drawing>
          <wp:inline distT="0" distB="0" distL="0" distR="0" wp14:anchorId="125B17DE" wp14:editId="2B4F27BC">
            <wp:extent cx="1927654" cy="41096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7654" cy="410965"/>
                    </a:xfrm>
                    <a:prstGeom prst="rect">
                      <a:avLst/>
                    </a:prstGeom>
                    <a:noFill/>
                    <a:ln>
                      <a:noFill/>
                    </a:ln>
                  </pic:spPr>
                </pic:pic>
              </a:graphicData>
            </a:graphic>
          </wp:inline>
        </w:drawing>
      </w:r>
    </w:p>
    <w:p w14:paraId="66ECA794" w14:textId="311EA597" w:rsidR="00D76177" w:rsidRDefault="00D76177" w:rsidP="00D76177">
      <w:pPr>
        <w:pStyle w:val="Heading1"/>
        <w:rPr>
          <w:b/>
          <w:bCs/>
        </w:rPr>
      </w:pPr>
      <w:r w:rsidRPr="00B76AF2">
        <w:rPr>
          <w:b/>
          <w:bCs/>
        </w:rPr>
        <w:t>Checklist for Borrowers in the Wake of SVB and Signature Bank Failures</w:t>
      </w:r>
    </w:p>
    <w:p w14:paraId="7FC36133" w14:textId="764B4552" w:rsidR="00E83340" w:rsidRPr="00E83340" w:rsidRDefault="00E83340" w:rsidP="00E83340">
      <w:pPr>
        <w:jc w:val="center"/>
        <w:rPr>
          <w:sz w:val="20"/>
          <w:szCs w:val="20"/>
        </w:rPr>
      </w:pPr>
      <w:r w:rsidRPr="00E83340">
        <w:rPr>
          <w:sz w:val="20"/>
          <w:szCs w:val="20"/>
        </w:rPr>
        <w:t>(March 2</w:t>
      </w:r>
      <w:r w:rsidR="0039452F">
        <w:rPr>
          <w:sz w:val="20"/>
          <w:szCs w:val="20"/>
        </w:rPr>
        <w:t>9</w:t>
      </w:r>
      <w:r w:rsidRPr="00E83340">
        <w:rPr>
          <w:sz w:val="20"/>
          <w:szCs w:val="20"/>
        </w:rPr>
        <w:t>, 2023)</w:t>
      </w:r>
    </w:p>
    <w:bookmarkEnd w:id="0"/>
    <w:p w14:paraId="1FE5D79F" w14:textId="77777777" w:rsidR="00D76177" w:rsidRDefault="00D76177" w:rsidP="00D76177">
      <w:pPr>
        <w:spacing w:before="60"/>
      </w:pPr>
    </w:p>
    <w:p w14:paraId="77D13D46" w14:textId="1F1802D1" w:rsidR="00D76177" w:rsidRDefault="00B76AF2" w:rsidP="00E83340">
      <w:pPr>
        <w:rPr>
          <w:sz w:val="20"/>
          <w:szCs w:val="20"/>
        </w:rPr>
      </w:pPr>
      <w:bookmarkStart w:id="1" w:name="OLE_LINK1"/>
      <w:r w:rsidRPr="00B76AF2">
        <w:rPr>
          <w:sz w:val="20"/>
          <w:szCs w:val="20"/>
        </w:rPr>
        <w:t xml:space="preserve">Below are several proactive considerations for borrowers following recent banking industry events and while the Fed, U.S. Treasury and the White House discuss possible remedial actions to prevent further stress to the global banking industry and continue to combat rising inflation. </w:t>
      </w:r>
    </w:p>
    <w:bookmarkEnd w:id="1"/>
    <w:p w14:paraId="7730CD1C" w14:textId="77777777" w:rsidR="00E83340" w:rsidRPr="00E83340" w:rsidRDefault="00E83340" w:rsidP="00E83340">
      <w:pPr>
        <w:rPr>
          <w:sz w:val="20"/>
          <w:szCs w:val="20"/>
        </w:rPr>
      </w:pPr>
    </w:p>
    <w:p w14:paraId="31289D0B" w14:textId="77777777" w:rsidR="00D76177" w:rsidRPr="00B76AF2" w:rsidRDefault="00D76177" w:rsidP="00D76177">
      <w:pPr>
        <w:pStyle w:val="ListParagraph"/>
        <w:numPr>
          <w:ilvl w:val="0"/>
          <w:numId w:val="1"/>
        </w:numPr>
        <w:rPr>
          <w:sz w:val="20"/>
          <w:szCs w:val="20"/>
        </w:rPr>
      </w:pPr>
      <w:r w:rsidRPr="00C31B6F">
        <w:rPr>
          <w:rFonts w:eastAsia="Times New Roman"/>
          <w:b/>
          <w:bCs/>
          <w:sz w:val="20"/>
          <w:szCs w:val="20"/>
        </w:rPr>
        <w:t>Understand the risk profile of the bank, including the relationship between uninsured deposits and unrealized losses</w:t>
      </w:r>
      <w:r w:rsidRPr="00B76AF2">
        <w:rPr>
          <w:rFonts w:eastAsia="Times New Roman"/>
          <w:sz w:val="20"/>
          <w:szCs w:val="20"/>
        </w:rPr>
        <w:t xml:space="preserve">. If you are unsure where to look, Quarles can assist in obtaining the underlying information for you from the relevant government-filed reports. </w:t>
      </w:r>
    </w:p>
    <w:p w14:paraId="7E1D7726" w14:textId="77777777" w:rsidR="00D76177" w:rsidRPr="00B76AF2" w:rsidRDefault="00D76177" w:rsidP="00D76177">
      <w:pPr>
        <w:pStyle w:val="ListParagraph"/>
        <w:rPr>
          <w:sz w:val="20"/>
          <w:szCs w:val="20"/>
        </w:rPr>
      </w:pPr>
      <w:r w:rsidRPr="00B76AF2">
        <w:rPr>
          <w:sz w:val="20"/>
          <w:szCs w:val="20"/>
        </w:rPr>
        <w:t> </w:t>
      </w:r>
    </w:p>
    <w:p w14:paraId="4B70E9EF" w14:textId="77777777" w:rsidR="00D76177" w:rsidRPr="00B76AF2" w:rsidRDefault="00D76177" w:rsidP="00D76177">
      <w:pPr>
        <w:pStyle w:val="ListParagraph"/>
        <w:numPr>
          <w:ilvl w:val="0"/>
          <w:numId w:val="1"/>
        </w:numPr>
        <w:rPr>
          <w:rFonts w:eastAsia="Times New Roman"/>
          <w:sz w:val="20"/>
          <w:szCs w:val="20"/>
        </w:rPr>
      </w:pPr>
      <w:r w:rsidRPr="00C31B6F">
        <w:rPr>
          <w:rFonts w:eastAsia="Times New Roman"/>
          <w:b/>
          <w:bCs/>
          <w:sz w:val="20"/>
          <w:szCs w:val="20"/>
        </w:rPr>
        <w:t>Existing loan covenants may prohibit transferring cash to other banks</w:t>
      </w:r>
      <w:r w:rsidRPr="00B76AF2">
        <w:rPr>
          <w:rFonts w:eastAsia="Times New Roman"/>
          <w:sz w:val="20"/>
          <w:szCs w:val="20"/>
        </w:rPr>
        <w:t>. Although you may ultimately decide to transfer funds out of a bank that you consider unsafe, it is best to consult with counsel on this question. Other ways this prohibition can be addressed include:</w:t>
      </w:r>
    </w:p>
    <w:p w14:paraId="45CB5CDA" w14:textId="77777777" w:rsidR="00D76177" w:rsidRPr="00B76AF2" w:rsidRDefault="00D76177" w:rsidP="00D76177">
      <w:pPr>
        <w:pStyle w:val="ListParagraph"/>
        <w:numPr>
          <w:ilvl w:val="0"/>
          <w:numId w:val="3"/>
        </w:numPr>
        <w:rPr>
          <w:rFonts w:eastAsia="Times New Roman"/>
          <w:sz w:val="20"/>
          <w:szCs w:val="20"/>
        </w:rPr>
      </w:pPr>
      <w:r w:rsidRPr="00B76AF2">
        <w:rPr>
          <w:rFonts w:eastAsia="Times New Roman"/>
          <w:sz w:val="20"/>
          <w:szCs w:val="20"/>
        </w:rPr>
        <w:t xml:space="preserve">Set up automatic sweeps of available cash to pay down the loan and reduce your uninsured deposit exposure at the same </w:t>
      </w:r>
      <w:proofErr w:type="gramStart"/>
      <w:r w:rsidRPr="00B76AF2">
        <w:rPr>
          <w:rFonts w:eastAsia="Times New Roman"/>
          <w:sz w:val="20"/>
          <w:szCs w:val="20"/>
        </w:rPr>
        <w:t>time;</w:t>
      </w:r>
      <w:proofErr w:type="gramEnd"/>
    </w:p>
    <w:p w14:paraId="25B5E7AC" w14:textId="77777777" w:rsidR="00D76177" w:rsidRPr="00B76AF2" w:rsidRDefault="00D76177" w:rsidP="00D76177">
      <w:pPr>
        <w:pStyle w:val="ListParagraph"/>
        <w:numPr>
          <w:ilvl w:val="0"/>
          <w:numId w:val="3"/>
        </w:numPr>
        <w:rPr>
          <w:rFonts w:eastAsia="Times New Roman"/>
          <w:sz w:val="20"/>
          <w:szCs w:val="20"/>
        </w:rPr>
      </w:pPr>
      <w:r w:rsidRPr="00B76AF2">
        <w:rPr>
          <w:rFonts w:eastAsia="Times New Roman"/>
          <w:sz w:val="20"/>
          <w:szCs w:val="20"/>
        </w:rPr>
        <w:t xml:space="preserve">Use available excess cash to invest in permitted instruments like securities, </w:t>
      </w:r>
      <w:r w:rsidRPr="00B76AF2">
        <w:rPr>
          <w:rFonts w:eastAsia="Times New Roman"/>
          <w:i/>
          <w:iCs/>
          <w:sz w:val="20"/>
          <w:szCs w:val="20"/>
        </w:rPr>
        <w:t>e.g.,</w:t>
      </w:r>
      <w:r w:rsidRPr="00B76AF2">
        <w:rPr>
          <w:rFonts w:eastAsia="Times New Roman"/>
          <w:sz w:val="20"/>
          <w:szCs w:val="20"/>
        </w:rPr>
        <w:t xml:space="preserve"> notes and bonds; and</w:t>
      </w:r>
    </w:p>
    <w:p w14:paraId="4E85681B" w14:textId="77777777" w:rsidR="00D76177" w:rsidRPr="00B76AF2" w:rsidRDefault="00D76177" w:rsidP="00D76177">
      <w:pPr>
        <w:pStyle w:val="ListParagraph"/>
        <w:numPr>
          <w:ilvl w:val="0"/>
          <w:numId w:val="3"/>
        </w:numPr>
        <w:rPr>
          <w:rFonts w:eastAsia="Times New Roman"/>
          <w:sz w:val="20"/>
          <w:szCs w:val="20"/>
        </w:rPr>
      </w:pPr>
      <w:r w:rsidRPr="00B76AF2">
        <w:rPr>
          <w:rFonts w:eastAsia="Times New Roman"/>
          <w:sz w:val="20"/>
          <w:szCs w:val="20"/>
        </w:rPr>
        <w:t>Where the existing agreement does not permit transfers or investments, obtain written consent from the bank to transfer funds or use your cash to make investments.</w:t>
      </w:r>
    </w:p>
    <w:p w14:paraId="6EF7BD9B" w14:textId="77777777" w:rsidR="00D76177" w:rsidRPr="00B76AF2" w:rsidRDefault="00D76177" w:rsidP="00D76177">
      <w:pPr>
        <w:pStyle w:val="ListParagraph"/>
        <w:rPr>
          <w:sz w:val="20"/>
          <w:szCs w:val="20"/>
        </w:rPr>
      </w:pPr>
      <w:r w:rsidRPr="00B76AF2">
        <w:rPr>
          <w:sz w:val="20"/>
          <w:szCs w:val="20"/>
        </w:rPr>
        <w:t> </w:t>
      </w:r>
    </w:p>
    <w:p w14:paraId="3131CF6E" w14:textId="77777777" w:rsidR="00D76177" w:rsidRPr="00B76AF2" w:rsidRDefault="00D76177" w:rsidP="00D76177">
      <w:pPr>
        <w:pStyle w:val="ListParagraph"/>
        <w:numPr>
          <w:ilvl w:val="0"/>
          <w:numId w:val="1"/>
        </w:numPr>
        <w:rPr>
          <w:rFonts w:eastAsia="Times New Roman"/>
          <w:sz w:val="20"/>
          <w:szCs w:val="20"/>
        </w:rPr>
      </w:pPr>
      <w:r w:rsidRPr="00C31B6F">
        <w:rPr>
          <w:rFonts w:eastAsia="Times New Roman"/>
          <w:b/>
          <w:bCs/>
          <w:sz w:val="20"/>
          <w:szCs w:val="20"/>
        </w:rPr>
        <w:t>Prepare for banks to tighten credit</w:t>
      </w:r>
      <w:r w:rsidRPr="00B76AF2">
        <w:rPr>
          <w:rFonts w:eastAsia="Times New Roman"/>
          <w:sz w:val="20"/>
          <w:szCs w:val="20"/>
        </w:rPr>
        <w:t xml:space="preserve">. When operating in a tighter credit environment, assess your ability to access new equity investments or other sources of funds, and to capital plan for your business with the idea that credit financing may not be as available as it has been, at least for </w:t>
      </w:r>
      <w:proofErr w:type="gramStart"/>
      <w:r w:rsidRPr="00B76AF2">
        <w:rPr>
          <w:rFonts w:eastAsia="Times New Roman"/>
          <w:sz w:val="20"/>
          <w:szCs w:val="20"/>
        </w:rPr>
        <w:t>a period of time</w:t>
      </w:r>
      <w:proofErr w:type="gramEnd"/>
      <w:r w:rsidRPr="00B76AF2">
        <w:rPr>
          <w:rFonts w:eastAsia="Times New Roman"/>
          <w:sz w:val="20"/>
          <w:szCs w:val="20"/>
        </w:rPr>
        <w:t xml:space="preserve">. Where possible, you could decide to extend maturities on existing debt right now. </w:t>
      </w:r>
    </w:p>
    <w:p w14:paraId="5EEF8CFF" w14:textId="77777777" w:rsidR="00D76177" w:rsidRPr="00B76AF2" w:rsidRDefault="00D76177" w:rsidP="00D76177">
      <w:pPr>
        <w:pStyle w:val="ListParagraph"/>
        <w:rPr>
          <w:sz w:val="20"/>
          <w:szCs w:val="20"/>
        </w:rPr>
      </w:pPr>
      <w:r w:rsidRPr="00B76AF2">
        <w:rPr>
          <w:sz w:val="20"/>
          <w:szCs w:val="20"/>
        </w:rPr>
        <w:t> </w:t>
      </w:r>
    </w:p>
    <w:p w14:paraId="2700EAE7" w14:textId="77777777" w:rsidR="00D76177" w:rsidRPr="00B76AF2" w:rsidRDefault="00D76177" w:rsidP="00D76177">
      <w:pPr>
        <w:pStyle w:val="ListParagraph"/>
        <w:numPr>
          <w:ilvl w:val="0"/>
          <w:numId w:val="1"/>
        </w:numPr>
        <w:rPr>
          <w:rFonts w:eastAsia="Times New Roman"/>
          <w:sz w:val="20"/>
          <w:szCs w:val="20"/>
        </w:rPr>
      </w:pPr>
      <w:r w:rsidRPr="00C31B6F">
        <w:rPr>
          <w:rFonts w:eastAsia="Times New Roman"/>
          <w:b/>
          <w:bCs/>
          <w:sz w:val="20"/>
          <w:szCs w:val="20"/>
        </w:rPr>
        <w:t>Expect interest rates to remain at current levels or increase, at least for as long as the Fed is raising rates</w:t>
      </w:r>
      <w:r w:rsidRPr="00B76AF2">
        <w:rPr>
          <w:rFonts w:eastAsia="Times New Roman"/>
          <w:sz w:val="20"/>
          <w:szCs w:val="20"/>
        </w:rPr>
        <w:t xml:space="preserve">. You should project how your business or household can perform with increased rates on your credit, and businesses. You could consider purchasing an interest rate hedge like a swap or collar that will mitigate the harshness of a rate rise on the debt you are paying. However, hedges may contain language tying the hedge to the existence of your underlying loan, which may affect your flexibility to refinance the underlying loan if/when rates fall. </w:t>
      </w:r>
    </w:p>
    <w:p w14:paraId="694078B5" w14:textId="77777777" w:rsidR="00D76177" w:rsidRPr="00B76AF2" w:rsidRDefault="00D76177" w:rsidP="00D76177">
      <w:pPr>
        <w:pStyle w:val="ListParagraph"/>
        <w:rPr>
          <w:rFonts w:eastAsia="Times New Roman"/>
          <w:sz w:val="20"/>
          <w:szCs w:val="20"/>
        </w:rPr>
      </w:pPr>
    </w:p>
    <w:p w14:paraId="69639AF5" w14:textId="77777777" w:rsidR="00D76177" w:rsidRPr="00B76AF2" w:rsidRDefault="00D76177" w:rsidP="00B76AF2">
      <w:pPr>
        <w:pStyle w:val="ListParagraph"/>
        <w:numPr>
          <w:ilvl w:val="0"/>
          <w:numId w:val="1"/>
        </w:numPr>
        <w:tabs>
          <w:tab w:val="left" w:pos="7200"/>
        </w:tabs>
        <w:rPr>
          <w:rFonts w:eastAsia="Times New Roman"/>
          <w:sz w:val="20"/>
          <w:szCs w:val="20"/>
        </w:rPr>
      </w:pPr>
      <w:r w:rsidRPr="00C31B6F">
        <w:rPr>
          <w:rFonts w:eastAsia="Times New Roman"/>
          <w:b/>
          <w:bCs/>
          <w:sz w:val="20"/>
          <w:szCs w:val="20"/>
        </w:rPr>
        <w:t>Expect banks to exhibit increased wariness in the current situation</w:t>
      </w:r>
      <w:r w:rsidRPr="00B76AF2">
        <w:rPr>
          <w:rFonts w:eastAsia="Times New Roman"/>
          <w:sz w:val="20"/>
          <w:szCs w:val="20"/>
        </w:rPr>
        <w:t xml:space="preserve">. In the short term, increase your communication with your banker, especially </w:t>
      </w:r>
      <w:proofErr w:type="gramStart"/>
      <w:r w:rsidRPr="00B76AF2">
        <w:rPr>
          <w:rFonts w:eastAsia="Times New Roman"/>
          <w:sz w:val="20"/>
          <w:szCs w:val="20"/>
        </w:rPr>
        <w:t>with regard to</w:t>
      </w:r>
      <w:proofErr w:type="gramEnd"/>
      <w:r w:rsidRPr="00B76AF2">
        <w:rPr>
          <w:rFonts w:eastAsia="Times New Roman"/>
          <w:sz w:val="20"/>
          <w:szCs w:val="20"/>
        </w:rPr>
        <w:t xml:space="preserve"> any difficulties your business is experiencing, and deliver all required reporting to the bank under your loan agreement very timely. </w:t>
      </w:r>
    </w:p>
    <w:p w14:paraId="2D3C95BA" w14:textId="77777777" w:rsidR="00D76177" w:rsidRPr="00B76AF2" w:rsidRDefault="00D76177" w:rsidP="00D76177">
      <w:pPr>
        <w:pStyle w:val="ListParagraph"/>
        <w:rPr>
          <w:rFonts w:eastAsia="Times New Roman"/>
          <w:sz w:val="20"/>
          <w:szCs w:val="20"/>
        </w:rPr>
      </w:pPr>
    </w:p>
    <w:p w14:paraId="69F53B4B" w14:textId="033AE2E2" w:rsidR="00D76177" w:rsidRPr="00B76AF2" w:rsidRDefault="00D76177" w:rsidP="00D76177">
      <w:pPr>
        <w:pStyle w:val="NormalWeb"/>
        <w:numPr>
          <w:ilvl w:val="0"/>
          <w:numId w:val="1"/>
        </w:numPr>
        <w:shd w:val="clear" w:color="auto" w:fill="FFFFFF"/>
        <w:spacing w:before="0" w:beforeAutospacing="0" w:after="0" w:afterAutospacing="0"/>
        <w:rPr>
          <w:sz w:val="20"/>
          <w:szCs w:val="20"/>
        </w:rPr>
      </w:pPr>
      <w:r w:rsidRPr="00C31B6F">
        <w:rPr>
          <w:rFonts w:ascii="Calibri" w:hAnsi="Calibri" w:cs="Calibri"/>
          <w:b/>
          <w:bCs/>
          <w:color w:val="000000"/>
          <w:sz w:val="20"/>
          <w:szCs w:val="20"/>
        </w:rPr>
        <w:t>Get good data</w:t>
      </w:r>
      <w:r w:rsidRPr="00B76AF2">
        <w:rPr>
          <w:rFonts w:ascii="Calibri" w:hAnsi="Calibri" w:cs="Calibri"/>
          <w:color w:val="000000"/>
          <w:sz w:val="20"/>
          <w:szCs w:val="20"/>
        </w:rPr>
        <w:t xml:space="preserve">, often available but not easy to obtain without expert </w:t>
      </w:r>
      <w:proofErr w:type="gramStart"/>
      <w:r w:rsidRPr="00B76AF2">
        <w:rPr>
          <w:rFonts w:ascii="Calibri" w:hAnsi="Calibri" w:cs="Calibri"/>
          <w:color w:val="000000"/>
          <w:sz w:val="20"/>
          <w:szCs w:val="20"/>
        </w:rPr>
        <w:t>help, and</w:t>
      </w:r>
      <w:proofErr w:type="gramEnd"/>
      <w:r w:rsidRPr="00B76AF2">
        <w:rPr>
          <w:rFonts w:ascii="Calibri" w:hAnsi="Calibri" w:cs="Calibri"/>
          <w:color w:val="000000"/>
          <w:sz w:val="20"/>
          <w:szCs w:val="20"/>
        </w:rPr>
        <w:t xml:space="preserve"> consult your attorneys on legal issues.</w:t>
      </w:r>
    </w:p>
    <w:p w14:paraId="2F015360" w14:textId="77777777" w:rsidR="00D76177" w:rsidRPr="00B76AF2" w:rsidRDefault="00D76177" w:rsidP="00D76177">
      <w:pPr>
        <w:pStyle w:val="NormalWeb"/>
        <w:shd w:val="clear" w:color="auto" w:fill="FFFFFF"/>
        <w:rPr>
          <w:rFonts w:ascii="Calibri" w:hAnsi="Calibri" w:cs="Calibri"/>
          <w:color w:val="000000"/>
          <w:sz w:val="20"/>
          <w:szCs w:val="20"/>
        </w:rPr>
      </w:pPr>
      <w:r w:rsidRPr="00B76AF2">
        <w:rPr>
          <w:rFonts w:ascii="Calibri" w:hAnsi="Calibri" w:cs="Calibri"/>
          <w:color w:val="000000"/>
          <w:sz w:val="20"/>
          <w:szCs w:val="20"/>
        </w:rPr>
        <w:t>Quarles continues to monitor and share updates on the banking industry as events unfold. For additional insights or guidance relative to your specific business needs, please contact your Quarles attorney or:</w:t>
      </w:r>
    </w:p>
    <w:p w14:paraId="60E851F4" w14:textId="77777777" w:rsidR="00D76177" w:rsidRPr="00B76AF2" w:rsidRDefault="00D76177" w:rsidP="00D76177">
      <w:pPr>
        <w:numPr>
          <w:ilvl w:val="0"/>
          <w:numId w:val="4"/>
        </w:numPr>
        <w:shd w:val="clear" w:color="auto" w:fill="FFFFFF"/>
        <w:spacing w:before="240" w:after="240"/>
        <w:ind w:left="1080"/>
        <w:rPr>
          <w:color w:val="000000"/>
          <w:sz w:val="20"/>
          <w:szCs w:val="20"/>
        </w:rPr>
      </w:pPr>
      <w:r w:rsidRPr="00B76AF2">
        <w:rPr>
          <w:color w:val="000000"/>
          <w:sz w:val="20"/>
          <w:szCs w:val="20"/>
        </w:rPr>
        <w:t>Jim Kaplan: 312-715-5028 / </w:t>
      </w:r>
      <w:hyperlink r:id="rId8" w:history="1">
        <w:r w:rsidRPr="00B76AF2">
          <w:rPr>
            <w:rStyle w:val="Hyperlink"/>
            <w:color w:val="CD0F2D"/>
            <w:sz w:val="20"/>
            <w:szCs w:val="20"/>
          </w:rPr>
          <w:t>jim.kaplan@quarles.com</w:t>
        </w:r>
      </w:hyperlink>
    </w:p>
    <w:p w14:paraId="5A56CB3A" w14:textId="10A2886F" w:rsidR="0073489B" w:rsidRPr="00E83340" w:rsidRDefault="00D76177" w:rsidP="00E83340">
      <w:pPr>
        <w:numPr>
          <w:ilvl w:val="0"/>
          <w:numId w:val="4"/>
        </w:numPr>
        <w:shd w:val="clear" w:color="auto" w:fill="FFFFFF"/>
        <w:spacing w:before="240" w:after="240"/>
        <w:ind w:left="1080"/>
        <w:rPr>
          <w:color w:val="000000"/>
          <w:sz w:val="20"/>
          <w:szCs w:val="20"/>
        </w:rPr>
      </w:pPr>
      <w:r w:rsidRPr="00B76AF2">
        <w:rPr>
          <w:color w:val="000000"/>
          <w:sz w:val="20"/>
          <w:szCs w:val="20"/>
        </w:rPr>
        <w:t>Kim Wynn: 414-277-5377 / </w:t>
      </w:r>
      <w:hyperlink r:id="rId9" w:history="1">
        <w:r w:rsidRPr="00B76AF2">
          <w:rPr>
            <w:rStyle w:val="Hyperlink"/>
            <w:color w:val="CD0F2D"/>
            <w:sz w:val="20"/>
            <w:szCs w:val="20"/>
          </w:rPr>
          <w:t>kim.wynn@quarles.com</w:t>
        </w:r>
      </w:hyperlink>
    </w:p>
    <w:sectPr w:rsidR="0073489B" w:rsidRPr="00E833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C8F7A" w14:textId="77777777" w:rsidR="00AF74EC" w:rsidRDefault="00AF74EC" w:rsidP="00C963B8">
      <w:r>
        <w:separator/>
      </w:r>
    </w:p>
  </w:endnote>
  <w:endnote w:type="continuationSeparator" w:id="0">
    <w:p w14:paraId="153E9CA1" w14:textId="77777777" w:rsidR="00AF74EC" w:rsidRDefault="00AF74EC" w:rsidP="00C9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9A3F" w14:textId="77777777" w:rsidR="00AF74EC" w:rsidRDefault="00AF74EC" w:rsidP="00C963B8">
      <w:r>
        <w:separator/>
      </w:r>
    </w:p>
  </w:footnote>
  <w:footnote w:type="continuationSeparator" w:id="0">
    <w:p w14:paraId="0D80C4BF" w14:textId="77777777" w:rsidR="00AF74EC" w:rsidRDefault="00AF74EC" w:rsidP="00C96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4136"/>
    <w:multiLevelType w:val="hybridMultilevel"/>
    <w:tmpl w:val="F1726900"/>
    <w:lvl w:ilvl="0" w:tplc="64548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E1A31"/>
    <w:multiLevelType w:val="multilevel"/>
    <w:tmpl w:val="1B306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60A2307"/>
    <w:multiLevelType w:val="multilevel"/>
    <w:tmpl w:val="0BDE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11D33"/>
    <w:multiLevelType w:val="hybridMultilevel"/>
    <w:tmpl w:val="D5D61DCC"/>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ACTIVE||1~79086102||2~1||3~Quarles Borrower Checklist with  Alert (March 2023)||5~MSMECK||6~MSMECK||7~WORDX||8~ADMIN||9~MISC||10~3/28/2023 6:26:33 PM||11~3/28/2023 6:24:53 PM||13~33837||14~False||17~public||18~JDIRKS||19~JDIRKS||21~True||22~True||23~False||25~999999||26~99999||60~Quarles &amp; Brady Miscellaneous||61~Copy/Fax Firm Costs - ONLY||74~Smeck, Margaret R.||75~Smeck, Margaret R.||76~WORD 2007||77~Administration||78~Miscellaneous||82~docx||85~3/28/2023 6:26:33 PM||99~1/1/0001 12:00:00 AM||106~C:\Users\jdirks\AppData\Roaming\iManage\Work\Recent\Smeck_ Margaret R. Personal Workspace\Quarles Borrower Checklist with  Alert (March 2023)(79086102.1).docx||107~1/1/0001 12:00:00 AM||109~3/28/2023 8:04:00 PM||113~3/28/2023 6:24:52 PM||114~3/28/2023 6:26:31 PM||124~False||"/>
    <w:docVar w:name="zzmp10NoTrailerPromptID" w:val="ACTIVE.79086102.1"/>
  </w:docVars>
  <w:rsids>
    <w:rsidRoot w:val="00D76177"/>
    <w:rsid w:val="0004436A"/>
    <w:rsid w:val="000C7270"/>
    <w:rsid w:val="0010227B"/>
    <w:rsid w:val="00235EB6"/>
    <w:rsid w:val="002808AB"/>
    <w:rsid w:val="00290067"/>
    <w:rsid w:val="0039452F"/>
    <w:rsid w:val="003C743C"/>
    <w:rsid w:val="00444FE0"/>
    <w:rsid w:val="0073489B"/>
    <w:rsid w:val="008F7C9C"/>
    <w:rsid w:val="009047E1"/>
    <w:rsid w:val="00973894"/>
    <w:rsid w:val="00A00B41"/>
    <w:rsid w:val="00AF74EC"/>
    <w:rsid w:val="00B76AF2"/>
    <w:rsid w:val="00BD3F53"/>
    <w:rsid w:val="00C31B6F"/>
    <w:rsid w:val="00C963B8"/>
    <w:rsid w:val="00D560C6"/>
    <w:rsid w:val="00D76177"/>
    <w:rsid w:val="00E83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A8099"/>
  <w15:chartTrackingRefBased/>
  <w15:docId w15:val="{24AF1172-8719-4893-ABA0-0F3CDFC0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177"/>
    <w:pPr>
      <w:spacing w:after="0" w:line="240" w:lineRule="auto"/>
    </w:pPr>
    <w:rPr>
      <w:rFonts w:ascii="Calibri" w:hAnsi="Calibri" w:cs="Calibri"/>
    </w:rPr>
  </w:style>
  <w:style w:type="paragraph" w:styleId="Heading1">
    <w:name w:val="heading 1"/>
    <w:basedOn w:val="Normal"/>
    <w:next w:val="Normal"/>
    <w:link w:val="Heading1Char"/>
    <w:uiPriority w:val="9"/>
    <w:qFormat/>
    <w:rsid w:val="00D761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617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617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76177"/>
    <w:pPr>
      <w:ind w:left="720"/>
    </w:pPr>
  </w:style>
  <w:style w:type="paragraph" w:styleId="NormalWeb">
    <w:name w:val="Normal (Web)"/>
    <w:basedOn w:val="Normal"/>
    <w:uiPriority w:val="99"/>
    <w:unhideWhenUsed/>
    <w:rsid w:val="00D76177"/>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6177"/>
    <w:rPr>
      <w:color w:val="0563C1" w:themeColor="hyperlink"/>
      <w:u w:val="single"/>
    </w:rPr>
  </w:style>
  <w:style w:type="character" w:customStyle="1" w:styleId="Heading1Char">
    <w:name w:val="Heading 1 Char"/>
    <w:basedOn w:val="DefaultParagraphFont"/>
    <w:link w:val="Heading1"/>
    <w:uiPriority w:val="9"/>
    <w:rsid w:val="00D7617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963B8"/>
    <w:pPr>
      <w:tabs>
        <w:tab w:val="center" w:pos="4680"/>
        <w:tab w:val="right" w:pos="9360"/>
      </w:tabs>
    </w:pPr>
  </w:style>
  <w:style w:type="character" w:customStyle="1" w:styleId="HeaderChar">
    <w:name w:val="Header Char"/>
    <w:basedOn w:val="DefaultParagraphFont"/>
    <w:link w:val="Header"/>
    <w:uiPriority w:val="99"/>
    <w:rsid w:val="00C963B8"/>
    <w:rPr>
      <w:rFonts w:ascii="Calibri" w:hAnsi="Calibri" w:cs="Calibri"/>
    </w:rPr>
  </w:style>
  <w:style w:type="paragraph" w:styleId="Footer">
    <w:name w:val="footer"/>
    <w:basedOn w:val="Normal"/>
    <w:link w:val="FooterChar"/>
    <w:uiPriority w:val="99"/>
    <w:unhideWhenUsed/>
    <w:rsid w:val="00C963B8"/>
    <w:pPr>
      <w:tabs>
        <w:tab w:val="center" w:pos="4680"/>
        <w:tab w:val="right" w:pos="9360"/>
      </w:tabs>
    </w:pPr>
  </w:style>
  <w:style w:type="character" w:customStyle="1" w:styleId="FooterChar">
    <w:name w:val="Footer Char"/>
    <w:basedOn w:val="DefaultParagraphFont"/>
    <w:link w:val="Footer"/>
    <w:uiPriority w:val="99"/>
    <w:rsid w:val="00C963B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m.Kaplan@quarle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im.Wynn@quar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2514</Characters>
  <Application>Microsoft Office Word</Application>
  <DocSecurity>0</DocSecurity>
  <Lines>44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Smeck</dc:creator>
  <cp:keywords/>
  <dc:description/>
  <cp:lastModifiedBy>Jody Dirks</cp:lastModifiedBy>
  <cp:revision>2</cp:revision>
  <dcterms:created xsi:type="dcterms:W3CDTF">2023-03-31T19:17:00Z</dcterms:created>
  <dcterms:modified xsi:type="dcterms:W3CDTF">2023-03-31T19:17:00Z</dcterms:modified>
</cp:coreProperties>
</file>